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sat4j 2.3.5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2005-2007 Olivier ROUSSEL and Vasco MANQUINHO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log(SAT4J: a SATisfiability library for Java (c) 2004-2013 Artois University and CNRS); $NON-NLS-1$</w:t>
        <w:br/>
        <w:t>Copyright (c) 2008 Olivier ROUSSEL (olivier.roussel &lt;at&gt; cril.univ-artois.fr)</w:t>
        <w:br/>
        <w:t>Copyright (c) 2005-2007 Olivier ROUSSEL and Vasco MANQUINHO&lt;br /&gt;</w:t>
        <w:br/>
        <w:t>Copyright (c) 2005-2007 Olivier ROUSSEL and Vasco MANQUINHO</w:t>
        <w:br/>
        <w:t>Copyright (C) 2004-2006 Daniel Le Berre</w:t>
        <w:br/>
        <w:t>Copyright (c) 2006 Olivier ROUSSEL (olivier.roussel &lt;at&gt; cril.univ-artois.fr)</w:t>
        <w:br/>
      </w:r>
    </w:p>
    <w:p>
      <w:pPr>
        <w:pStyle w:val="18"/>
        <w:rPr>
          <w:rFonts w:ascii="宋体" w:hAnsi="宋体" w:cs="宋体"/>
          <w:sz w:val="22"/>
          <w:szCs w:val="22"/>
        </w:rPr>
      </w:pPr>
      <w:r>
        <w:rPr>
          <w:rFonts w:ascii="Arial" w:hAnsi="Arial"/>
          <w:b/>
          <w:sz w:val="24"/>
        </w:rPr>
        <w:t xml:space="preserve">License: </w:t>
      </w:r>
      <w:r>
        <w:rPr>
          <w:rFonts w:ascii="Arial" w:hAnsi="Arial"/>
          <w:sz w:val="21"/>
        </w:rPr>
        <w:t>EPL or LGPLv2</w:t>
      </w:r>
    </w:p>
    <w:p>
      <w:pPr>
        <w:pStyle w:val="18"/>
        <w:rPr>
          <w:rFonts w:ascii="宋体" w:hAnsi="宋体" w:cs="宋体"/>
          <w:sz w:val="22"/>
          <w:szCs w:val="22"/>
        </w:rPr>
      </w:pPr>
      <w:r>
        <w:rPr>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